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8" w:name="allgemeine-geschäftsbedingungen"/>
    <w:p>
      <w:pPr>
        <w:pStyle w:val="Heading1"/>
      </w:pPr>
      <w:r>
        <w:t xml:space="preserve">Allgemeine Geschäftsbedingungen</w:t>
      </w:r>
    </w:p>
    <w:p>
      <w:pPr>
        <w:pStyle w:val="FirstParagraph"/>
      </w:pPr>
      <w:r>
        <w:t xml:space="preserve">{#allgemeine-geschäftsbedingungen .doc-title}</w:t>
      </w:r>
    </w:p>
    <w:p>
      <w:pPr>
        <w:pStyle w:val="BodyText"/>
      </w:pPr>
      <w:r>
        <w:t xml:space="preserve">Rechtsgrundlage: § 4 FAGG, EU-Richtlinie 2011/83/EU, §§ 11/18 FAGG</w:t>
      </w:r>
      <w:r>
        <w:t xml:space="preserve"> </w:t>
      </w:r>
      <w:r>
        <w:t xml:space="preserve">(Widerruf)</w:t>
      </w:r>
    </w:p>
    <w:bookmarkStart w:id="21" w:name="anbieter"/>
    <w:p>
      <w:pPr>
        <w:pStyle w:val="Heading2"/>
      </w:pPr>
      <w:r>
        <w:t xml:space="preserve">§ 1 Anbieter</w:t>
      </w:r>
    </w:p>
    <w:p>
      <w:pPr>
        <w:pStyle w:val="FirstParagraph"/>
      </w:pPr>
      <w:r>
        <w:t xml:space="preserve">Gerald Hofbauer · Ferry Sehergasse 10/20 · 2020 Hollabrunn, Österreich ·</w:t>
      </w:r>
      <w:r>
        <w:t xml:space="preserve"> </w:t>
      </w:r>
      <w:hyperlink r:id="rId20">
        <w:r>
          <w:rPr>
            <w:rStyle w:val="Hyperlink"/>
          </w:rPr>
          <w:t xml:space="preserve">info@geraldhofbauer.net</w:t>
        </w:r>
      </w:hyperlink>
    </w:p>
    <w:bookmarkEnd w:id="21"/>
    <w:bookmarkStart w:id="22" w:name="geltungsbereich"/>
    <w:p>
      <w:pPr>
        <w:pStyle w:val="Heading2"/>
      </w:pPr>
      <w:r>
        <w:t xml:space="preserve">§ 2 Geltungsbereich</w:t>
      </w:r>
    </w:p>
    <w:p>
      <w:pPr>
        <w:pStyle w:val="FirstParagraph"/>
      </w:pPr>
      <w:r>
        <w:t xml:space="preserve">Diese AGBs gelten für die Nutzung der App</w:t>
      </w:r>
      <w:r>
        <w:t xml:space="preserve"> </w:t>
      </w:r>
      <w:r>
        <w:rPr>
          <w:i/>
          <w:iCs/>
        </w:rPr>
        <w:t xml:space="preserve">Sleep by GH</w:t>
      </w:r>
      <w:r>
        <w:t xml:space="preserve"> </w:t>
      </w:r>
      <w:r>
        <w:t xml:space="preserve">und der damit</w:t>
      </w:r>
      <w:r>
        <w:t xml:space="preserve"> </w:t>
      </w:r>
      <w:r>
        <w:t xml:space="preserve">verbundenen Dienste. Mit Registrierung oder Nutzung erklärst du dich</w:t>
      </w:r>
      <w:r>
        <w:t xml:space="preserve"> </w:t>
      </w:r>
      <w:r>
        <w:t xml:space="preserve">einverstanden.</w:t>
      </w:r>
    </w:p>
    <w:bookmarkEnd w:id="22"/>
    <w:bookmarkStart w:id="23" w:name="leistungsgegenstand"/>
    <w:p>
      <w:pPr>
        <w:pStyle w:val="Heading2"/>
      </w:pPr>
      <w:r>
        <w:t xml:space="preserve">§ 3 Leistungsgegenstand</w:t>
      </w:r>
    </w:p>
    <w:p>
      <w:pPr>
        <w:pStyle w:val="FirstParagraph"/>
      </w:pPr>
      <w:r>
        <w:t xml:space="preserve">KI-gestützte Einschlaf-App (Anthropic Claude) mit TTS (OpenAI) und</w:t>
      </w:r>
      <w:r>
        <w:t xml:space="preserve"> </w:t>
      </w:r>
      <w:r>
        <w:t xml:space="preserve">Ambient-Klängen.</w:t>
      </w:r>
    </w:p>
    <w:p>
      <w:pPr>
        <w:pStyle w:val="BodyText"/>
      </w:pPr>
      <w:r>
        <w:rPr>
          <w:b/>
          <w:bCs/>
        </w:rPr>
        <w:t xml:space="preserve">Free:</w:t>
      </w:r>
      <w:r>
        <w:t xml:space="preserve"> </w:t>
      </w:r>
      <w:r>
        <w:t xml:space="preserve">Tagesgeschichte, Wikipedia, RSS-News, Ambient, Standard-TTS,</w:t>
      </w:r>
      <w:r>
        <w:t xml:space="preserve"> </w:t>
      </w:r>
      <w:r>
        <w:t xml:space="preserve">freiwillige Rewarded Ads.</w:t>
      </w:r>
    </w:p>
    <w:p>
      <w:pPr>
        <w:pStyle w:val="BodyText"/>
      </w:pPr>
      <w:r>
        <w:rPr>
          <w:b/>
          <w:bCs/>
        </w:rPr>
        <w:t xml:space="preserve">Premium:</w:t>
      </w:r>
      <w:r>
        <w:t xml:space="preserve"> </w:t>
      </w:r>
      <w:r>
        <w:t xml:space="preserve">Alle Free-Leistungen + persistente Charaktere, eigene</w:t>
      </w:r>
      <w:r>
        <w:t xml:space="preserve"> </w:t>
      </w:r>
      <w:r>
        <w:t xml:space="preserve">Themen, erweiterte Stimmen (OpenAI HD), Infinity Play, kein</w:t>
      </w:r>
      <w:r>
        <w:t xml:space="preserve"> </w:t>
      </w:r>
      <w:r>
        <w:t xml:space="preserve">Tageskontingent.</w:t>
      </w:r>
    </w:p>
    <w:bookmarkEnd w:id="23"/>
    <w:bookmarkStart w:id="24" w:name="nutzerkonto-und-registrierung"/>
    <w:p>
      <w:pPr>
        <w:pStyle w:val="Heading2"/>
      </w:pPr>
      <w:r>
        <w:t xml:space="preserve">§ 4 Nutzerkonto und Registrierung</w:t>
      </w:r>
    </w:p>
    <w:p>
      <w:pPr>
        <w:pStyle w:val="FirstParagraph"/>
      </w:pPr>
      <w:r>
        <w:t xml:space="preserve">Premium erfordert ein Nutzerkonto. Wahrheitsgemäße Angaben sind Pflicht.</w:t>
      </w:r>
      <w:r>
        <w:t xml:space="preserve"> </w:t>
      </w:r>
      <w:r>
        <w:t xml:space="preserve">Konto nicht übertragbar.</w:t>
      </w:r>
    </w:p>
    <w:bookmarkEnd w:id="24"/>
    <w:bookmarkStart w:id="25" w:name="preise-und-zahlung"/>
    <w:p>
      <w:pPr>
        <w:pStyle w:val="Heading2"/>
      </w:pPr>
      <w:r>
        <w:t xml:space="preserve">§ 5 Preise und Zahlung</w:t>
      </w:r>
    </w:p>
    <w:p>
      <w:pPr>
        <w:pStyle w:val="FirstParagraph"/>
      </w:pPr>
      <w:r>
        <w:t xml:space="preserve">Aktuelle Preise in der App / im jeweiligen Store. Zahlungsabwicklung</w:t>
      </w:r>
      <w:r>
        <w:t xml:space="preserve"> </w:t>
      </w:r>
      <w:r>
        <w:t xml:space="preserve">ausschließlich über Apple App Store oder Google Play. Ergänzend gelten</w:t>
      </w:r>
      <w:r>
        <w:t xml:space="preserve"> </w:t>
      </w:r>
      <w:r>
        <w:t xml:space="preserve">die Store-Zahlungsbedingungen.</w:t>
      </w:r>
    </w:p>
    <w:bookmarkEnd w:id="25"/>
    <w:bookmarkStart w:id="28" w:name="X0901e4ffd3c444ae87305f590a11ae1477e5b4f"/>
    <w:p>
      <w:pPr>
        <w:pStyle w:val="Heading2"/>
      </w:pPr>
      <w:r>
        <w:t xml:space="preserve">§ 6 Widerrufsrecht</w:t>
      </w:r>
      <w:r>
        <w:t xml:space="preserve"> </w:t>
      </w:r>
      <w:r>
        <w:t xml:space="preserve">(§ 11 FAGG, Art. 9 RL 2011/83/EU)</w:t>
      </w:r>
    </w:p>
    <w:p>
      <w:pPr>
        <w:pStyle w:val="FirstParagraph"/>
      </w:pPr>
      <w:r>
        <w:rPr>
          <w:b/>
          <w:bCs/>
        </w:rPr>
        <w:t xml:space="preserve">Grundsatz:</w:t>
      </w:r>
      <w:r>
        <w:t xml:space="preserve"> </w:t>
      </w:r>
      <w:r>
        <w:t xml:space="preserve">14 Tage ab Vertragsabschluss (§ 11 Abs. 1 FAGG).</w:t>
      </w:r>
    </w:p>
    <w:p>
      <w:pPr>
        <w:pStyle w:val="BodyText"/>
      </w:pPr>
      <w:r>
        <w:rPr>
          <w:b/>
          <w:bCs/>
        </w:rPr>
        <w:t xml:space="preserve">Erlöschen:</w:t>
      </w:r>
      <w:r>
        <w:t xml:space="preserve"> </w:t>
      </w:r>
      <w:r>
        <w:t xml:space="preserve">Das Widerrufsrecht erlischt bei sofort bereitgestellten</w:t>
      </w:r>
      <w:r>
        <w:t xml:space="preserve"> </w:t>
      </w:r>
      <w:r>
        <w:t xml:space="preserve">digitalen Inhalten, wenn ausdrückliche Zustimmung zum Sofortbeginn und</w:t>
      </w:r>
      <w:r>
        <w:t xml:space="preserve"> </w:t>
      </w:r>
      <w:r>
        <w:t xml:space="preserve">Kenntnis des Verlustes des Widerrufsrechts vorliegt (§ 18 Abs. 1 Z 13</w:t>
      </w:r>
      <w:r>
        <w:t xml:space="preserve"> </w:t>
      </w:r>
      <w:r>
        <w:t xml:space="preserve">FAGG). Bestätigung erfolgt im App-Store-Checkout.</w:t>
      </w:r>
    </w:p>
    <w:p>
      <w:pPr>
        <w:pStyle w:val="BodyText"/>
      </w:pPr>
      <w:r>
        <w:rPr>
          <w:b/>
          <w:bCs/>
        </w:rPr>
        <w:t xml:space="preserve">Praktische Abwicklung:</w:t>
      </w:r>
      <w:r>
        <w:t xml:space="preserve"> </w:t>
      </w:r>
      <w:r>
        <w:t xml:space="preserve">Rückerstattungen über Apple</w:t>
      </w:r>
      <w:r>
        <w:t xml:space="preserve"> </w:t>
      </w:r>
      <w:r>
        <w:t xml:space="preserve">(</w:t>
      </w:r>
      <w:hyperlink r:id="rId26">
        <w:r>
          <w:rPr>
            <w:rStyle w:val="Hyperlink"/>
          </w:rPr>
          <w:t xml:space="preserve">support.apple.com/de-at/118223</w:t>
        </w:r>
      </w:hyperlink>
      <w:r>
        <w:t xml:space="preserve">)</w:t>
      </w:r>
      <w:r>
        <w:t xml:space="preserve"> </w:t>
      </w:r>
      <w:r>
        <w:t xml:space="preserve">bzw. Google</w:t>
      </w:r>
      <w:r>
        <w:t xml:space="preserve"> </w:t>
      </w:r>
      <w:r>
        <w:t xml:space="preserve">(</w:t>
      </w:r>
      <w:hyperlink r:id="rId27">
        <w:r>
          <w:rPr>
            <w:rStyle w:val="Hyperlink"/>
          </w:rPr>
          <w:t xml:space="preserve">support.google.com/googleplay/answer/2479637</w:t>
        </w:r>
      </w:hyperlink>
      <w:r>
        <w:t xml:space="preserve">).</w:t>
      </w:r>
    </w:p>
    <w:p>
      <w:pPr>
        <w:pStyle w:val="BodyText"/>
      </w:pPr>
      <w:r>
        <w:rPr>
          <w:b/>
          <w:bCs/>
        </w:rPr>
        <w:t xml:space="preserve">Online-Widerrufsbutton:</w:t>
      </w:r>
      <w:r>
        <w:t xml:space="preserve"> </w:t>
      </w:r>
      <w:r>
        <w:t xml:space="preserve">Gemäß § 13a FAGG stellen wir für Verträge, die über die App geschlossen werden, eine leicht zugängliche Funktion zum Widerruf (</w:t>
      </w:r>
      <w:r>
        <w:t xml:space="preserve">“Widerrufsbutton”</w:t>
      </w:r>
      <w:r>
        <w:t xml:space="preserve">) zur Verfügung, sofern ein gesetzliches Widerrufsrecht besteht und nicht gemäß § 18 FAGG erloschen ist.</w:t>
      </w:r>
    </w:p>
    <w:p>
      <w:pPr>
        <w:pStyle w:val="BodyText"/>
      </w:pPr>
      <w:r>
        <w:rPr>
          <w:b/>
          <w:bCs/>
        </w:rPr>
        <w:t xml:space="preserve">Muster-Widerrufsformular</w:t>
      </w:r>
      <w:r>
        <w:t xml:space="preserve"> </w:t>
      </w:r>
      <w:r>
        <w:t xml:space="preserve">(Anlage zu § 11 FAGG):</w:t>
      </w:r>
      <w:r>
        <w:br/>
      </w:r>
      <w:r>
        <w:br/>
      </w:r>
      <w:r>
        <w:t xml:space="preserve">An: Gerald Hofbauer, Ferry Sehergasse 10/20, 2020 Hollabrunn /</w:t>
      </w:r>
      <w:r>
        <w:t xml:space="preserve"> </w:t>
      </w:r>
      <w:r>
        <w:t xml:space="preserve">info@geraldhofbauer.net</w:t>
      </w:r>
      <w:r>
        <w:br/>
      </w:r>
      <w:r>
        <w:br/>
      </w:r>
      <w:r>
        <w:t xml:space="preserve">Hiermit widerrufe(n) ich/wir den von mir/uns abgeschlossenen Vertrag</w:t>
      </w:r>
      <w:r>
        <w:t xml:space="preserve"> </w:t>
      </w:r>
      <w:r>
        <w:t xml:space="preserve">über die Erbringung der folgenden Dienstleistung:</w:t>
      </w:r>
      <w:r>
        <w:br/>
      </w:r>
      <w:r>
        <w:t xml:space="preserve">Bestellt am: ___________</w:t>
      </w:r>
      <w:r>
        <w:br/>
      </w:r>
      <w:r>
        <w:t xml:space="preserve">Name: ___________</w:t>
      </w:r>
      <w:r>
        <w:br/>
      </w:r>
      <w:r>
        <w:t xml:space="preserve">Anschrift: ___________</w:t>
      </w:r>
      <w:r>
        <w:br/>
      </w:r>
      <w:r>
        <w:t xml:space="preserve">Datum: ___________</w:t>
      </w:r>
    </w:p>
    <w:bookmarkEnd w:id="28"/>
    <w:bookmarkStart w:id="29" w:name="nutzungsrechte"/>
    <w:p>
      <w:pPr>
        <w:pStyle w:val="Heading2"/>
      </w:pPr>
      <w:r>
        <w:t xml:space="preserve">§ 7 Nutzungsrechte</w:t>
      </w:r>
    </w:p>
    <w:p>
      <w:pPr>
        <w:pStyle w:val="FirstParagraph"/>
      </w:pPr>
      <w:r>
        <w:t xml:space="preserve">Nicht-exklusives, nicht-übertragbares Nutzungsrecht für den</w:t>
      </w:r>
      <w:r>
        <w:t xml:space="preserve"> </w:t>
      </w:r>
      <w:r>
        <w:t xml:space="preserve">persönlichen, nicht-kommerziellen Gebrauch.</w:t>
      </w:r>
    </w:p>
    <w:bookmarkEnd w:id="29"/>
    <w:bookmarkStart w:id="30" w:name="pflichten-des-nutzers"/>
    <w:p>
      <w:pPr>
        <w:pStyle w:val="Heading2"/>
      </w:pPr>
      <w:r>
        <w:t xml:space="preserve">§ 8 Pflichten des Nutzers</w:t>
      </w:r>
    </w:p>
    <w:p>
      <w:pPr>
        <w:pStyle w:val="Compact"/>
        <w:numPr>
          <w:ilvl w:val="0"/>
          <w:numId w:val="1001"/>
        </w:numPr>
      </w:pPr>
      <w:r>
        <w:t xml:space="preserve">Keine automatisierten Abrufe (Bots, Scraper)</w:t>
      </w:r>
    </w:p>
    <w:p>
      <w:pPr>
        <w:pStyle w:val="Compact"/>
        <w:numPr>
          <w:ilvl w:val="0"/>
          <w:numId w:val="1001"/>
        </w:numPr>
      </w:pPr>
      <w:r>
        <w:t xml:space="preserve">Keine Umgehung von Sicherheitsmechanismen</w:t>
      </w:r>
    </w:p>
    <w:p>
      <w:pPr>
        <w:pStyle w:val="Compact"/>
        <w:numPr>
          <w:ilvl w:val="0"/>
          <w:numId w:val="1001"/>
        </w:numPr>
      </w:pPr>
      <w:r>
        <w:t xml:space="preserve">Keine rechtswidrigen, beleidigenden oder diskriminierenden Themen</w:t>
      </w:r>
    </w:p>
    <w:p>
      <w:pPr>
        <w:pStyle w:val="Compact"/>
        <w:numPr>
          <w:ilvl w:val="0"/>
          <w:numId w:val="1001"/>
        </w:numPr>
      </w:pPr>
      <w:r>
        <w:t xml:space="preserve">Keine kommerzielle Nutzung ohne Genehmigung</w:t>
      </w:r>
    </w:p>
    <w:p>
      <w:pPr>
        <w:pStyle w:val="Compact"/>
        <w:numPr>
          <w:ilvl w:val="0"/>
          <w:numId w:val="1001"/>
        </w:numPr>
      </w:pPr>
      <w:r>
        <w:t xml:space="preserve">Mindestalter 14 Jahre (unter 14: Zustimmung Erziehungsberechtigter)</w:t>
      </w:r>
    </w:p>
    <w:bookmarkEnd w:id="30"/>
    <w:bookmarkStart w:id="31" w:name="verfügbarkeit-und-haftung"/>
    <w:p>
      <w:pPr>
        <w:pStyle w:val="Heading2"/>
      </w:pPr>
      <w:r>
        <w:t xml:space="preserve">§ 9 Verfügbarkeit und Haftung</w:t>
      </w:r>
    </w:p>
    <w:p>
      <w:pPr>
        <w:pStyle w:val="FirstParagraph"/>
      </w:pPr>
      <w:r>
        <w:t xml:space="preserve">Best-Effort-Verfügbarkeit. Haftungsbeschränkung auf Vorsatz und grobe</w:t>
      </w:r>
      <w:r>
        <w:t xml:space="preserve"> </w:t>
      </w:r>
      <w:r>
        <w:t xml:space="preserve">Fahrlässigkeit; gesetzliche Haftung für Personenschäden und wesentliche</w:t>
      </w:r>
      <w:r>
        <w:t xml:space="preserve"> </w:t>
      </w:r>
      <w:r>
        <w:t xml:space="preserve">Vertragspflichten bleibt unberührt.</w:t>
      </w:r>
    </w:p>
    <w:bookmarkEnd w:id="31"/>
    <w:bookmarkStart w:id="32" w:name="ki-generierte-inhalte"/>
    <w:p>
      <w:pPr>
        <w:pStyle w:val="Heading2"/>
      </w:pPr>
      <w:r>
        <w:t xml:space="preserve">§ 10 KI-generierte Inhalte</w:t>
      </w:r>
    </w:p>
    <w:p>
      <w:pPr>
        <w:pStyle w:val="FirstParagraph"/>
      </w:pPr>
      <w:r>
        <w:t xml:space="preserve">Keine Haftung für Richtigkeit, Vollständigkeit oder Aktualität. Kein</w:t>
      </w:r>
      <w:r>
        <w:t xml:space="preserve"> </w:t>
      </w:r>
      <w:r>
        <w:t xml:space="preserve">Ersatz für medizinische oder therapeutische Beratung.</w:t>
      </w:r>
    </w:p>
    <w:bookmarkEnd w:id="32"/>
    <w:bookmarkStart w:id="33" w:name="änderungen-dieser-agbs"/>
    <w:p>
      <w:pPr>
        <w:pStyle w:val="Heading2"/>
      </w:pPr>
      <w:r>
        <w:t xml:space="preserve">§ 11 Änderungen dieser AGBs</w:t>
      </w:r>
    </w:p>
    <w:p>
      <w:pPr>
        <w:pStyle w:val="FirstParagraph"/>
      </w:pPr>
      <w:r>
        <w:t xml:space="preserve">Wesentliche Änderungen: Ankündigung mind. 30 Tage vorher per E-Mail /</w:t>
      </w:r>
      <w:r>
        <w:t xml:space="preserve"> </w:t>
      </w:r>
      <w:r>
        <w:t xml:space="preserve">In-App. Kein Widerspruch = Zustimmung.</w:t>
      </w:r>
    </w:p>
    <w:bookmarkEnd w:id="33"/>
    <w:bookmarkStart w:id="34" w:name="laufzeit-und-kündigung"/>
    <w:p>
      <w:pPr>
        <w:pStyle w:val="Heading2"/>
      </w:pPr>
      <w:r>
        <w:t xml:space="preserve">§ 12 Laufzeit und Kündigung</w:t>
      </w:r>
    </w:p>
    <w:p>
      <w:pPr>
        <w:pStyle w:val="FirstParagraph"/>
      </w:pPr>
      <w:r>
        <w:t xml:space="preserve">Monatliches Abo, automatische Verlängerung. Kündigung über App-Store.</w:t>
      </w:r>
      <w:r>
        <w:t xml:space="preserve"> </w:t>
      </w:r>
      <w:r>
        <w:t xml:space="preserve">Zugang bis Periodenende. Sperrung bei schwerem AGBs-Verstoß möglich.</w:t>
      </w:r>
    </w:p>
    <w:bookmarkEnd w:id="34"/>
    <w:bookmarkStart w:id="35" w:name="anwendbares-recht-und-gerichtsstand"/>
    <w:p>
      <w:pPr>
        <w:pStyle w:val="Heading2"/>
      </w:pPr>
      <w:r>
        <w:t xml:space="preserve">§ 13 Anwendbares Recht und Gerichtsstand</w:t>
      </w:r>
    </w:p>
    <w:p>
      <w:pPr>
        <w:pStyle w:val="FirstParagraph"/>
      </w:pPr>
      <w:r>
        <w:t xml:space="preserve">Österreichisches Recht, Ausschluss CISG.</w:t>
      </w:r>
    </w:p>
    <w:p>
      <w:pPr>
        <w:pStyle w:val="BodyText"/>
      </w:pPr>
      <w:r>
        <w:t xml:space="preserve">Gerichtsstand für Unternehmer: Bezirksgericht Hollabrunn (bis € 15.000)</w:t>
      </w:r>
      <w:r>
        <w:t xml:space="preserve"> </w:t>
      </w:r>
      <w:r>
        <w:t xml:space="preserve">/ Landesgericht Korneuburg (über € 15.000). Für Verbraucher gilt § 14</w:t>
      </w:r>
      <w:r>
        <w:t xml:space="preserve"> </w:t>
      </w:r>
      <w:r>
        <w:t xml:space="preserve">KSchG (Wohnsitzgerichtsstand) vorrangig.</w:t>
      </w:r>
    </w:p>
    <w:bookmarkEnd w:id="35"/>
    <w:bookmarkStart w:id="37" w:name="online-streitbeilegung-eu-vo-nr.-5242013"/>
    <w:p>
      <w:pPr>
        <w:pStyle w:val="Heading2"/>
      </w:pPr>
      <w:r>
        <w:t xml:space="preserve">§ 14 Online-Streitbeilegung</w:t>
      </w:r>
      <w:r>
        <w:t xml:space="preserve"> </w:t>
      </w:r>
      <w:r>
        <w:t xml:space="preserve">(EU-VO Nr. 524/2013)</w:t>
      </w:r>
    </w:p>
    <w:p>
      <w:pPr>
        <w:pStyle w:val="FirstParagraph"/>
      </w:pPr>
      <w:r>
        <w:t xml:space="preserve">OS-Plattform:</w:t>
      </w:r>
      <w:r>
        <w:t xml:space="preserve"> </w:t>
      </w:r>
      <w:hyperlink r:id="rId36">
        <w:r>
          <w:rPr>
            <w:rStyle w:val="Hyperlink"/>
          </w:rPr>
          <w:t xml:space="preserve">https://ec.europa.eu/consumers/odr</w:t>
        </w:r>
      </w:hyperlink>
    </w:p>
    <w:p>
      <w:pPr>
        <w:pStyle w:val="BodyText"/>
      </w:pPr>
      <w:r>
        <w:t xml:space="preserve">Wir sind weder bereit noch verpflichtet, an einem</w:t>
      </w:r>
      <w:r>
        <w:t xml:space="preserve"> </w:t>
      </w:r>
      <w:r>
        <w:t xml:space="preserve">Streitbeilegungsverfahren vor einer Verbraucherschlichtungsstelle</w:t>
      </w:r>
      <w:r>
        <w:t xml:space="preserve"> </w:t>
      </w:r>
      <w:r>
        <w:t xml:space="preserve">teilzunehmen.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Sleep by GH · Rechtsdokumente · Stand Juni 2025 · ENTWURF zur</w:t>
      </w:r>
      <w:r>
        <w:t xml:space="preserve"> </w:t>
      </w:r>
      <w:r>
        <w:t xml:space="preserve">rechtlichen Prüfung</w:t>
      </w:r>
    </w:p>
    <w:bookmarkEnd w:id="37"/>
    <w:bookmarkEnd w:id="38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6" Target="https://ec.europa.eu/consumers/odr" TargetMode="External" /><Relationship Type="http://schemas.openxmlformats.org/officeDocument/2006/relationships/hyperlink" Id="rId26" Target="https://support.apple.com/de-at/118223" TargetMode="External" /><Relationship Type="http://schemas.openxmlformats.org/officeDocument/2006/relationships/hyperlink" Id="rId27" Target="https://support.google.com/googleplay/answer/2479637" TargetMode="External" /><Relationship Type="http://schemas.openxmlformats.org/officeDocument/2006/relationships/hyperlink" Id="rId20" Target="mailto:info@geraldhofbauer.ne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6" Target="https://ec.europa.eu/consumers/odr" TargetMode="External" /><Relationship Type="http://schemas.openxmlformats.org/officeDocument/2006/relationships/hyperlink" Id="rId26" Target="https://support.apple.com/de-at/118223" TargetMode="External" /><Relationship Type="http://schemas.openxmlformats.org/officeDocument/2006/relationships/hyperlink" Id="rId27" Target="https://support.google.com/googleplay/answer/2479637" TargetMode="External" /><Relationship Type="http://schemas.openxmlformats.org/officeDocument/2006/relationships/hyperlink" Id="rId20" Target="mailto:info@geraldhofbauer.ne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2026-06-12T23:06:08Z</dcterms:created>
  <dcterms:modified xsi:type="dcterms:W3CDTF">2026-06-12T23:06:08Z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